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301439B8" w14:textId="5D4299A3" w:rsidR="00254DA2" w:rsidRPr="00A4454D" w:rsidRDefault="00885716" w:rsidP="00C553AA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ข้อเสนอแนะมาตรฐานฯ ว่าด้วย</w:t>
      </w:r>
      <w:r w:rsidR="000A1972" w:rsidRPr="00A4454D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ก</w:t>
      </w:r>
      <w:r w:rsidR="00714AC2" w:rsidRPr="00A4454D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ระเป๋าดิจิทัลสำหรับการแลกเปลี่ยนเอกสารรับรอง</w:t>
      </w:r>
    </w:p>
    <w:p w14:paraId="4B2031B7" w14:textId="785A193F" w:rsidR="00A7102F" w:rsidRPr="00A4454D" w:rsidRDefault="00F83339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A4454D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714AC2" w:rsidRPr="00A4454D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Digital Wallet for Verifiable Credentials</w:t>
      </w:r>
      <w:r w:rsidRPr="00A4454D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77777777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7569FB46" w14:textId="77777777" w:rsidR="00185EA9" w:rsidRPr="005A4955" w:rsidRDefault="00185EA9" w:rsidP="00185EA9">
      <w:pPr>
        <w:pStyle w:val="11"/>
        <w:rPr>
          <w:cs/>
        </w:rPr>
      </w:pPr>
      <w:bookmarkStart w:id="1" w:name="_Hlk88136743"/>
      <w:r w:rsidRPr="00F0384F">
        <w:rPr>
          <w:rFonts w:hint="cs"/>
          <w:cs/>
        </w:rPr>
        <w:t>ข้อเสนอแนะมาตรฐานฉบับนี้อธิบายหลักการ กรอบการ</w:t>
      </w:r>
      <w:r>
        <w:rPr>
          <w:rFonts w:hint="cs"/>
          <w:cs/>
        </w:rPr>
        <w:t>ทำงาน</w:t>
      </w:r>
      <w:r w:rsidRPr="00F0384F">
        <w:rPr>
          <w:rFonts w:hint="cs"/>
          <w:cs/>
        </w:rPr>
        <w:t xml:space="preserve"> องค์ประกอบที่สำคัญ และโพรโทคอลการแลกเปลี่ยนข้อมูล</w:t>
      </w:r>
      <w:r w:rsidRPr="005A4955">
        <w:rPr>
          <w:rFonts w:hint="cs"/>
          <w:cs/>
        </w:rPr>
        <w:t>สำหรับ</w:t>
      </w:r>
      <w:r w:rsidRPr="005A4955">
        <w:rPr>
          <w:cs/>
        </w:rPr>
        <w:t>กระเป๋าดิจิทัล</w:t>
      </w:r>
      <w:r w:rsidRPr="005A4955">
        <w:rPr>
          <w:rFonts w:hint="cs"/>
          <w:cs/>
        </w:rPr>
        <w:t>เพื่อ</w:t>
      </w:r>
      <w:r w:rsidRPr="005A4955">
        <w:rPr>
          <w:cs/>
        </w:rPr>
        <w:t>แลกเปลี่ยนเอกสารรับรอง</w:t>
      </w:r>
      <w:r w:rsidRPr="005A4955">
        <w:rPr>
          <w:rFonts w:hint="cs"/>
          <w:cs/>
        </w:rPr>
        <w:t xml:space="preserve"> </w:t>
      </w:r>
      <w:r w:rsidRPr="005A4955">
        <w:t>(verifiable credential: VC)</w:t>
      </w:r>
      <w:r w:rsidRPr="005A4955">
        <w:rPr>
          <w:rFonts w:hint="cs"/>
          <w:cs/>
        </w:rPr>
        <w:t xml:space="preserve"> </w:t>
      </w:r>
      <w:r w:rsidRPr="005A4955">
        <w:rPr>
          <w:cs/>
        </w:rPr>
        <w:t>และเอกสารสำแดง (</w:t>
      </w:r>
      <w:r w:rsidRPr="005A4955">
        <w:t>verifiable presentation: VP)</w:t>
      </w:r>
      <w:r w:rsidRPr="005A4955">
        <w:rPr>
          <w:cs/>
        </w:rPr>
        <w:t xml:space="preserve"> </w:t>
      </w:r>
      <w:r w:rsidRPr="0069204D">
        <w:rPr>
          <w:cs/>
        </w:rPr>
        <w:t>โพรโทคอลการแลกเปลี่ยนข้อมูลระหว่างกระเป๋าดิจิทัลกับผู้ที่เกี่ยวข้อ</w:t>
      </w:r>
      <w:r>
        <w:rPr>
          <w:rFonts w:hint="cs"/>
          <w:cs/>
        </w:rPr>
        <w:t xml:space="preserve">ง </w:t>
      </w:r>
      <w:r w:rsidRPr="008E5782">
        <w:rPr>
          <w:cs/>
        </w:rPr>
        <w:t>รวมทั้งกำหนดข้อกำหนดพื้นฐานที่จำเป็นสำหรับการให้บริการกระเป๋าดิจิทัล เพื่อให้ผู้ให้บริการกระเป๋าดิจิทัล (</w:t>
      </w:r>
      <w:r w:rsidRPr="008E5782">
        <w:t xml:space="preserve">digital wallet provider) </w:t>
      </w:r>
      <w:r w:rsidRPr="008E5782">
        <w:rPr>
          <w:cs/>
        </w:rPr>
        <w:t>และผู้ออกเอกสารรับรอง (</w:t>
      </w:r>
      <w:r w:rsidRPr="008E5782">
        <w:t xml:space="preserve">verifiable credential issuer) </w:t>
      </w:r>
      <w:r w:rsidRPr="00D241AD">
        <w:rPr>
          <w:cs/>
        </w:rPr>
        <w:t>มีแนวทางในการให้บริการที่มีความน่าเชื่อถือ</w:t>
      </w:r>
      <w:r>
        <w:rPr>
          <w:rFonts w:hint="cs"/>
          <w:cs/>
        </w:rPr>
        <w:t xml:space="preserve"> </w:t>
      </w:r>
      <w:r w:rsidRPr="00D241AD">
        <w:rPr>
          <w:cs/>
        </w:rPr>
        <w:t xml:space="preserve">มั่นคงปลอดภัย </w:t>
      </w:r>
      <w:r w:rsidRPr="005A4955">
        <w:rPr>
          <w:rFonts w:hint="cs"/>
          <w:cs/>
        </w:rPr>
        <w:t>คุ้มครองข้อมูลส่วนบุคคล</w:t>
      </w:r>
      <w:r>
        <w:t xml:space="preserve"> </w:t>
      </w:r>
      <w:r w:rsidRPr="005A4955">
        <w:rPr>
          <w:rFonts w:hint="cs"/>
          <w:cs/>
        </w:rPr>
        <w:t>และสามารถทำงานร่วมกันได้</w:t>
      </w:r>
    </w:p>
    <w:bookmarkEnd w:id="1"/>
    <w:p w14:paraId="7DD9B073" w14:textId="77777777" w:rsidR="00185EA9" w:rsidRPr="005A4955" w:rsidRDefault="00185EA9" w:rsidP="00185EA9">
      <w:pPr>
        <w:pStyle w:val="11"/>
      </w:pPr>
      <w:r w:rsidRPr="005A4955">
        <w:rPr>
          <w:cs/>
        </w:rPr>
        <w:t>ข้อเสนอแนะมาตรฐานฉบับนี้สามารถใช้</w:t>
      </w:r>
      <w:r w:rsidRPr="005A4955">
        <w:rPr>
          <w:rFonts w:hint="cs"/>
          <w:cs/>
        </w:rPr>
        <w:t>เป็นแนวทาง</w:t>
      </w:r>
      <w:r w:rsidRPr="005A4955">
        <w:rPr>
          <w:cs/>
        </w:rPr>
        <w:t>ได้กับ</w:t>
      </w:r>
      <w:r w:rsidRPr="005A4955">
        <w:rPr>
          <w:rFonts w:hint="cs"/>
          <w:cs/>
        </w:rPr>
        <w:t>ทั้ง</w:t>
      </w:r>
      <w:r w:rsidRPr="005A4955">
        <w:rPr>
          <w:cs/>
        </w:rPr>
        <w:t>ผู้ออกเอกสาร</w:t>
      </w:r>
      <w:r w:rsidRPr="005A4955">
        <w:t xml:space="preserve"> (issuer) </w:t>
      </w:r>
      <w:r w:rsidRPr="005A4955">
        <w:rPr>
          <w:cs/>
        </w:rPr>
        <w:t>ผู้ถือเอกสาร (</w:t>
      </w:r>
      <w:r w:rsidRPr="005A4955">
        <w:t xml:space="preserve">holder) </w:t>
      </w:r>
      <w:r w:rsidRPr="005A4955">
        <w:rPr>
          <w:cs/>
        </w:rPr>
        <w:t>และผู้ตรวจสอบเอกสาร (</w:t>
      </w:r>
      <w:r w:rsidRPr="005A4955">
        <w:t>verifier)</w:t>
      </w:r>
      <w:r w:rsidRPr="005A4955">
        <w:rPr>
          <w:rFonts w:hint="cs"/>
          <w:cs/>
        </w:rPr>
        <w:t xml:space="preserve"> สำหรับการใช้งานประเภทต่าง ๆ เช่น การพิสูจน์และยืนยันตัวตน</w:t>
      </w:r>
      <w:r w:rsidRPr="005A4955">
        <w:t xml:space="preserve"> </w:t>
      </w:r>
      <w:r w:rsidRPr="005A4955">
        <w:rPr>
          <w:rFonts w:hint="cs"/>
          <w:cs/>
        </w:rPr>
        <w:t>การบริหารจัดการเอกสารรับรอง การบริหารจัดการกุญแจเข้ารหัส การลงลายมือชื่อดิจิทัล และ</w:t>
      </w:r>
      <w:r>
        <w:rPr>
          <w:rFonts w:hint="cs"/>
          <w:cs/>
        </w:rPr>
        <w:t>การ</w:t>
      </w:r>
      <w:r w:rsidRPr="005A4955">
        <w:rPr>
          <w:rFonts w:hint="cs"/>
          <w:cs/>
        </w:rPr>
        <w:t>เลือกเปิดเผยข้อมูล</w:t>
      </w:r>
      <w:r>
        <w:rPr>
          <w:rFonts w:hint="cs"/>
          <w:cs/>
        </w:rPr>
        <w:t>บางส่วน</w:t>
      </w:r>
      <w:r w:rsidRPr="005A4955">
        <w:rPr>
          <w:rFonts w:hint="cs"/>
          <w:cs/>
        </w:rPr>
        <w:t xml:space="preserve"> (</w:t>
      </w:r>
      <w:r w:rsidRPr="005A4955">
        <w:t>selective disclosure</w:t>
      </w:r>
      <w:r w:rsidRPr="005A4955">
        <w:rPr>
          <w:rFonts w:hint="cs"/>
          <w:cs/>
        </w:rPr>
        <w:t>)</w:t>
      </w:r>
    </w:p>
    <w:p w14:paraId="0C9AC900" w14:textId="23532E14" w:rsidR="00C553AA" w:rsidRPr="009238D9" w:rsidRDefault="00185EA9" w:rsidP="00185EA9">
      <w:pPr>
        <w:pStyle w:val="11"/>
      </w:pPr>
      <w:r w:rsidRPr="005A4955">
        <w:rPr>
          <w:rFonts w:hint="cs"/>
          <w:cs/>
        </w:rPr>
        <w:t xml:space="preserve">ทั้งนี้ </w:t>
      </w:r>
      <w:r w:rsidRPr="005A4955">
        <w:rPr>
          <w:cs/>
        </w:rPr>
        <w:t>ข้อเสนอแนะมาตรฐานฉบับนี้</w:t>
      </w:r>
      <w:r w:rsidRPr="005A4955">
        <w:rPr>
          <w:rFonts w:hint="cs"/>
          <w:cs/>
        </w:rPr>
        <w:t>จำกัดนิยามของกระเป๋าดิจิทัลให้ครอบคลุม</w:t>
      </w:r>
      <w:r>
        <w:rPr>
          <w:rFonts w:hint="cs"/>
          <w:cs/>
        </w:rPr>
        <w:t>เฉพาะ</w:t>
      </w:r>
      <w:r w:rsidRPr="005A4955">
        <w:rPr>
          <w:rFonts w:hint="cs"/>
          <w:cs/>
        </w:rPr>
        <w:t>การใช้งานเอกสารรับรองและเอกสารสำแดงที่</w:t>
      </w:r>
      <w:r>
        <w:rPr>
          <w:rFonts w:hint="cs"/>
          <w:cs/>
        </w:rPr>
        <w:t>มี</w:t>
      </w:r>
      <w:r w:rsidRPr="005A4955">
        <w:rPr>
          <w:rFonts w:hint="cs"/>
          <w:cs/>
        </w:rPr>
        <w:t>การลงลายมือชื่อดิจิทัล (</w:t>
      </w:r>
      <w:r w:rsidRPr="005A4955">
        <w:t>digital signature</w:t>
      </w:r>
      <w:r w:rsidRPr="005A4955">
        <w:rPr>
          <w:rFonts w:hint="cs"/>
          <w:cs/>
        </w:rPr>
        <w:t>)</w:t>
      </w:r>
      <w:r w:rsidRPr="005A4955">
        <w:t xml:space="preserve"> </w:t>
      </w:r>
      <w:r w:rsidRPr="005A4955">
        <w:rPr>
          <w:rFonts w:hint="cs"/>
          <w:cs/>
        </w:rPr>
        <w:t xml:space="preserve">เท่านั้น </w:t>
      </w:r>
      <w:r>
        <w:rPr>
          <w:rFonts w:hint="cs"/>
          <w:cs/>
        </w:rPr>
        <w:t>แต่</w:t>
      </w:r>
      <w:r w:rsidRPr="005A4955">
        <w:rPr>
          <w:rFonts w:hint="cs"/>
          <w:cs/>
        </w:rPr>
        <w:t>จะไม่ครอบคลุมถึงการใช้งานเอกสารอิเล็กทรอนิกส์ที่ไม่สามารถตรวจสอบได้ด้วยกระบวนการระบบรหัส (</w:t>
      </w:r>
      <w:r w:rsidRPr="005A4955">
        <w:t>cryptography</w:t>
      </w:r>
      <w:r w:rsidRPr="005A4955">
        <w:rPr>
          <w:rFonts w:hint="cs"/>
          <w:cs/>
        </w:rPr>
        <w:t>)</w:t>
      </w:r>
      <w:r w:rsidRPr="005A4955">
        <w:t xml:space="preserve"> </w:t>
      </w:r>
      <w:r w:rsidRPr="005A4955">
        <w:rPr>
          <w:rFonts w:hint="cs"/>
          <w:cs/>
        </w:rPr>
        <w:t xml:space="preserve">และไม่ครอบคลุมการใช้งานกระเป๋าดิจิทัลประเภทอื่น </w:t>
      </w:r>
      <w:r>
        <w:rPr>
          <w:rFonts w:hint="cs"/>
          <w:cs/>
        </w:rPr>
        <w:t xml:space="preserve">ๆ </w:t>
      </w:r>
      <w:r w:rsidRPr="005A4955">
        <w:rPr>
          <w:rFonts w:hint="cs"/>
          <w:cs/>
        </w:rPr>
        <w:t>เช่น กระเป๋าดิจิทัลสำหรับ</w:t>
      </w:r>
      <w:r w:rsidRPr="00B15E9A">
        <w:rPr>
          <w:cs/>
        </w:rPr>
        <w:t>บริการเงินอิเล็กทรอนิกส์</w:t>
      </w:r>
      <w:r w:rsidRPr="005A4955">
        <w:rPr>
          <w:rFonts w:hint="cs"/>
          <w:cs/>
        </w:rPr>
        <w:t xml:space="preserve"> (</w:t>
      </w:r>
      <w:r>
        <w:t>e-</w:t>
      </w:r>
      <w:r w:rsidRPr="005A4955">
        <w:t>money wallet</w:t>
      </w:r>
      <w:r w:rsidRPr="005A4955">
        <w:rPr>
          <w:rFonts w:hint="cs"/>
          <w:cs/>
        </w:rPr>
        <w:t>) หรือกระเป๋าดิจิทัลสำหรับการแลกเปลี่ยนสินทรัพย์ดิจิทัล (</w:t>
      </w:r>
      <w:r w:rsidRPr="005A4955">
        <w:t>cryptocurrency/cryptoasset wallet</w:t>
      </w:r>
      <w:r w:rsidRPr="005A4955">
        <w:rPr>
          <w:rFonts w:hint="cs"/>
          <w:cs/>
        </w:rPr>
        <w:t>)</w:t>
      </w:r>
    </w:p>
    <w:p w14:paraId="4B2031CD" w14:textId="6CEBEEB2" w:rsidR="00C50BCA" w:rsidRPr="002F15E3" w:rsidRDefault="00824263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77777777" w:rsidR="00824263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</w:hyperlink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70443309" w14:textId="77777777" w:rsidR="007B3513" w:rsidRPr="002F15E3" w:rsidRDefault="007B351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50BBA17B" w:rsidR="000F4582" w:rsidRPr="00891D15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04D92B23" w:rsidR="000F4582" w:rsidRPr="00891D15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891D1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8E396B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</w:t>
      </w:r>
      <w:r w:rsidR="009766DE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50</w:t>
      </w:r>
      <w:r w:rsidR="005B3D13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9</w:t>
      </w:r>
      <w:r w:rsidR="005237C8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2" w:name="_Hlk48747177"/>
      <w:r w:rsidR="005237C8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bookmarkEnd w:id="2"/>
      <w:r w:rsidR="005B3D13"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วราภรณ์ หลีสกุล</w:t>
      </w:r>
      <w:r w:rsidR="00254DA2"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  <w:r w:rsidR="00AE0024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 xml:space="preserve">, </w:t>
      </w:r>
      <w:r w:rsidR="007548BD" w:rsidRPr="007548BD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099-415</w:t>
      </w:r>
      <w:r w:rsidR="007548BD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-</w:t>
      </w:r>
      <w:r w:rsidR="007548BD" w:rsidRPr="007548BD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5491</w:t>
      </w:r>
      <w:r w:rsidR="007548BD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(</w:t>
      </w:r>
      <w:r w:rsidR="007548BD" w:rsidRPr="007548BD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พัชราภรณ์</w:t>
      </w:r>
      <w:r w:rsidR="007548BD" w:rsidRPr="007548BD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="007548BD" w:rsidRPr="007548BD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ฮอย</w:t>
      </w:r>
      <w:r w:rsidR="007548BD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)</w:t>
      </w:r>
    </w:p>
    <w:p w14:paraId="4B2031D5" w14:textId="7DD5C1EB" w:rsidR="000F4582" w:rsidRPr="00891D15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87350B" w:rsidRPr="0087350B">
        <w:rPr>
          <w:rFonts w:ascii="TH Sarabun New" w:hAnsi="TH Sarabun New" w:cs="TH Sarabun New"/>
          <w:spacing w:val="-4"/>
          <w:sz w:val="28"/>
          <w:szCs w:val="28"/>
          <w:lang w:val="en-US"/>
        </w:rPr>
        <w:t>https://www.etda.or.th/th/StandardNews/08022566.aspx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</w:t>
      </w: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3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3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8FD2" w14:textId="77777777" w:rsidR="00077AE2" w:rsidRDefault="00077AE2">
      <w:r>
        <w:separator/>
      </w:r>
    </w:p>
  </w:endnote>
  <w:endnote w:type="continuationSeparator" w:id="0">
    <w:p w14:paraId="156582C2" w14:textId="77777777" w:rsidR="00077AE2" w:rsidRDefault="0007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7717" w14:textId="77777777" w:rsidR="00A33326" w:rsidRDefault="00A33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6A2D8257" w:rsidR="008E354A" w:rsidRPr="003370E1" w:rsidRDefault="008E354A" w:rsidP="00586C2E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9147" w14:textId="77777777" w:rsidR="00077AE2" w:rsidRDefault="00077AE2">
      <w:r>
        <w:separator/>
      </w:r>
    </w:p>
  </w:footnote>
  <w:footnote w:type="continuationSeparator" w:id="0">
    <w:p w14:paraId="75AC05C2" w14:textId="77777777" w:rsidR="00077AE2" w:rsidRDefault="0007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AF53" w14:textId="77777777" w:rsidR="00A33326" w:rsidRDefault="00A33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92EA" w14:textId="77777777" w:rsidR="00A33326" w:rsidRDefault="00A33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15E92D07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A33326" w:rsidRPr="00A33326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กระเป๋าดิจิทัลสำหรับการแลกเปลี่ยนเอกสารรับรอง</w:t>
    </w:r>
    <w:r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5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6"/>
  </w:num>
  <w:num w:numId="2" w16cid:durableId="1551188627">
    <w:abstractNumId w:val="2"/>
  </w:num>
  <w:num w:numId="3" w16cid:durableId="230040468">
    <w:abstractNumId w:val="1"/>
  </w:num>
  <w:num w:numId="4" w16cid:durableId="14734501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2E4B"/>
    <w:rsid w:val="00077AE2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85EA9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6AD7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300B"/>
    <w:rsid w:val="005348A0"/>
    <w:rsid w:val="005354F0"/>
    <w:rsid w:val="00535D9F"/>
    <w:rsid w:val="00565340"/>
    <w:rsid w:val="00566F1C"/>
    <w:rsid w:val="0056767E"/>
    <w:rsid w:val="00573B0F"/>
    <w:rsid w:val="00583125"/>
    <w:rsid w:val="00586C2E"/>
    <w:rsid w:val="005945AF"/>
    <w:rsid w:val="005B1A72"/>
    <w:rsid w:val="005B38F2"/>
    <w:rsid w:val="005B3D13"/>
    <w:rsid w:val="005C1A70"/>
    <w:rsid w:val="005D0584"/>
    <w:rsid w:val="005D2048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14AC2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548BD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4A3A"/>
    <w:rsid w:val="00846AF2"/>
    <w:rsid w:val="008472DC"/>
    <w:rsid w:val="00863B87"/>
    <w:rsid w:val="00866909"/>
    <w:rsid w:val="00867C49"/>
    <w:rsid w:val="00871744"/>
    <w:rsid w:val="008731B6"/>
    <w:rsid w:val="0087350B"/>
    <w:rsid w:val="00874CAD"/>
    <w:rsid w:val="00884246"/>
    <w:rsid w:val="00885716"/>
    <w:rsid w:val="00891D15"/>
    <w:rsid w:val="00896838"/>
    <w:rsid w:val="008B1025"/>
    <w:rsid w:val="008B40F3"/>
    <w:rsid w:val="008C4B05"/>
    <w:rsid w:val="008D1393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238D9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6670"/>
    <w:rsid w:val="00A33326"/>
    <w:rsid w:val="00A36E0D"/>
    <w:rsid w:val="00A4454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0024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3825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814F2"/>
    <w:rsid w:val="00B820BD"/>
    <w:rsid w:val="00B86249"/>
    <w:rsid w:val="00B862F2"/>
    <w:rsid w:val="00B912F5"/>
    <w:rsid w:val="00BA327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53AA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DF4D74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346C4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97789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numbering" w:customStyle="1" w:styleId="ThaiNumber1">
    <w:name w:val="Thai Number1"/>
    <w:uiPriority w:val="99"/>
    <w:rsid w:val="00B3382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3019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Weerasak Dee-am</cp:lastModifiedBy>
  <cp:revision>42</cp:revision>
  <cp:lastPrinted>2020-09-25T10:44:00Z</cp:lastPrinted>
  <dcterms:created xsi:type="dcterms:W3CDTF">2020-09-25T10:44:00Z</dcterms:created>
  <dcterms:modified xsi:type="dcterms:W3CDTF">2023-02-08T07:34:00Z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