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0314A781" w14:textId="1057292A" w:rsidR="00626930" w:rsidRPr="00626930" w:rsidRDefault="00885716" w:rsidP="00A25CE6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bookmarkStart w:id="1" w:name="_Hlk124520416"/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ข้อเสนอแนะมาตรฐานฯ ว่าด้วย</w:t>
      </w:r>
      <w:r w:rsidR="00626930" w:rsidRPr="00626930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บริการนำส่งข้อมูลอิเล็กทรอนิกส์</w:t>
      </w:r>
      <w:bookmarkEnd w:id="1"/>
      <w:r w:rsidR="00626930" w:rsidRPr="00626930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</w:p>
    <w:p w14:paraId="4B2031B7" w14:textId="4A6AA181" w:rsidR="00A7102F" w:rsidRPr="002F15E3" w:rsidRDefault="00626930" w:rsidP="00626930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626930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    (</w:t>
      </w:r>
      <w:r w:rsidRPr="00626930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Electronic Delivery Service)</w:t>
      </w:r>
    </w:p>
    <w:p w14:paraId="4B2031B8" w14:textId="7157694C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626930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-2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2E089B35" w14:textId="62D77CC9" w:rsidR="00A25CE6" w:rsidRPr="00A25CE6" w:rsidRDefault="00A25CE6" w:rsidP="00A25CE6">
      <w:pPr>
        <w:pStyle w:val="11"/>
      </w:pPr>
      <w:r w:rsidRPr="00A25CE6">
        <w:rPr>
          <w:rFonts w:hint="cs"/>
          <w:cs/>
        </w:rPr>
        <w:t>ข้อเสนอแนะมาตรฐานฉบับนี้อธิบายภาพรวมของการนำส่งข้อมูลอิเล็กทรอนิกส์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ข้อกำหนดของบริการนำส่งข้อมูลอิเล็กทรอนิกส์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และมาตรการควบคุมด้านความมั่นคงปลอดภัยสารสนเทศของบริการนำส่งข้อมูลอิเล็กทรอนิกส์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เพื่อให้ผู้ให้บริการนำส่งข้อมูลอิเล็กทรอนิกส์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ซึ่งทำหน้าที่เป็นจุดรับส่ง</w:t>
      </w:r>
      <w:r w:rsidRPr="00A25CE6">
        <w:rPr>
          <w:cs/>
        </w:rPr>
        <w:t xml:space="preserve"> (</w:t>
      </w:r>
      <w:r w:rsidRPr="00A25CE6">
        <w:t xml:space="preserve">access point) </w:t>
      </w:r>
      <w:r w:rsidRPr="00A25CE6">
        <w:rPr>
          <w:rFonts w:hint="cs"/>
          <w:cs/>
        </w:rPr>
        <w:t>ระหว่างผู้ส่งข้อมูลกับผู้รับข้อมูล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มีแนวทางในการให้บริการนำส่งข้อมูลอิเล็กทรอนิกส์ที่มีความมั่นคงปลอดภัย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และช่วยสร้างความมั่นใจให้กับผู้ส่งข้อมูลและผู้รับข้อมูลที่ใช้บริการนำส่งข้อมูลอิเล็กทรอนิกส์</w:t>
      </w:r>
    </w:p>
    <w:p w14:paraId="1B370065" w14:textId="77777777" w:rsidR="00A25CE6" w:rsidRPr="00A25CE6" w:rsidRDefault="00A25CE6" w:rsidP="00A25CE6">
      <w:pPr>
        <w:pStyle w:val="11"/>
      </w:pPr>
      <w:r w:rsidRPr="00A25CE6">
        <w:rPr>
          <w:rFonts w:hint="cs"/>
          <w:cs/>
        </w:rPr>
        <w:t>ข้อเสนอแนะมาตรฐานฉบับนี้สามารถใช้ได้กับหน่วยงานที่เป็นผู้ให้บริการนำส่งข้อมูลอิเล็กทรอนิกส์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เช่น</w:t>
      </w:r>
    </w:p>
    <w:p w14:paraId="2816E8C0" w14:textId="77777777" w:rsidR="00A25CE6" w:rsidRPr="00A25CE6" w:rsidRDefault="00A25CE6" w:rsidP="00A25CE6">
      <w:pPr>
        <w:pStyle w:val="11"/>
        <w:numPr>
          <w:ilvl w:val="0"/>
          <w:numId w:val="4"/>
        </w:numPr>
      </w:pPr>
      <w:r w:rsidRPr="00A25CE6">
        <w:rPr>
          <w:rFonts w:hint="cs"/>
          <w:cs/>
        </w:rPr>
        <w:t>ผู้ให้บริการนำส่งข้อมูลอิเล็กทรอนิกส์ให้กับกรมสรรพากร</w:t>
      </w:r>
      <w:r w:rsidRPr="00A25CE6">
        <w:rPr>
          <w:cs/>
        </w:rPr>
        <w:t xml:space="preserve"> </w:t>
      </w:r>
    </w:p>
    <w:p w14:paraId="11EBE139" w14:textId="77777777" w:rsidR="00A25CE6" w:rsidRPr="00A25CE6" w:rsidRDefault="00A25CE6" w:rsidP="00A25CE6">
      <w:pPr>
        <w:pStyle w:val="11"/>
        <w:numPr>
          <w:ilvl w:val="0"/>
          <w:numId w:val="4"/>
        </w:numPr>
      </w:pPr>
      <w:r w:rsidRPr="00A25CE6">
        <w:rPr>
          <w:rFonts w:hint="cs"/>
          <w:cs/>
        </w:rPr>
        <w:t>ผู้ให้บริการนำส่งข้อมูลอิเล็กทรอนิกส์ระหว่างหน่วยงานที่เชื่อมต่อกับระบบ</w:t>
      </w:r>
      <w:r w:rsidRPr="00A25CE6">
        <w:rPr>
          <w:cs/>
        </w:rPr>
        <w:t xml:space="preserve"> </w:t>
      </w:r>
      <w:r w:rsidRPr="00A25CE6">
        <w:t>National Single Window (NSW)</w:t>
      </w:r>
    </w:p>
    <w:p w14:paraId="212C0886" w14:textId="77777777" w:rsidR="00A25CE6" w:rsidRPr="00A25CE6" w:rsidRDefault="00A25CE6" w:rsidP="00A25CE6">
      <w:pPr>
        <w:pStyle w:val="11"/>
        <w:numPr>
          <w:ilvl w:val="0"/>
          <w:numId w:val="4"/>
        </w:numPr>
      </w:pPr>
      <w:r w:rsidRPr="00A25CE6">
        <w:rPr>
          <w:rFonts w:hint="cs"/>
          <w:cs/>
        </w:rPr>
        <w:t>ผู้ให้บริการนำส่งข้อมูลอิเล็กทรอนิกส์อื่น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ๆ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ที่ต้องการความน่าเชื่อถือในการส่งหรือรับข้อมูลอิเล็กทรอนิกส์</w:t>
      </w:r>
    </w:p>
    <w:p w14:paraId="52456BC7" w14:textId="314FB4BA" w:rsidR="00D932C1" w:rsidRPr="002E0F40" w:rsidRDefault="00A25CE6" w:rsidP="00A25CE6">
      <w:pPr>
        <w:pStyle w:val="11"/>
      </w:pPr>
      <w:r w:rsidRPr="00A25CE6">
        <w:rPr>
          <w:rFonts w:hint="cs"/>
          <w:cs/>
        </w:rPr>
        <w:t>อย่างไรก็ตาม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หน่วยงานที่เกี่ยวข้องอาจจะมีข้อกำหนดอื่น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ๆ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ตามหลักเกณฑ์ที่กำหนดไว้เป็นการเฉพาะ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เช่น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เกณฑ์วิธี</w:t>
      </w:r>
      <w:r w:rsidRPr="00A25CE6">
        <w:rPr>
          <w:cs/>
        </w:rPr>
        <w:t xml:space="preserve"> (</w:t>
      </w:r>
      <w:r w:rsidRPr="00A25CE6">
        <w:t xml:space="preserve">protocol) </w:t>
      </w:r>
      <w:r w:rsidRPr="00A25CE6">
        <w:rPr>
          <w:rFonts w:hint="cs"/>
          <w:cs/>
        </w:rPr>
        <w:t>ของการรับส่งข้อมูล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โครงสร้างข้อมูลของข้อมูลที่จะส่ง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ดังนั้น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ผู้ให้บริการนำส่งข้อมูลอิเล็กทรอนิกส์ควรดำเนินการตามข้อกำหนดอื่น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ๆ</w:t>
      </w:r>
      <w:r w:rsidRPr="00A25CE6">
        <w:rPr>
          <w:cs/>
        </w:rPr>
        <w:t xml:space="preserve"> </w:t>
      </w:r>
      <w:r w:rsidRPr="00A25CE6">
        <w:rPr>
          <w:rFonts w:hint="cs"/>
          <w:cs/>
        </w:rPr>
        <w:t>ที่เกี่ยวข้องด้วย</w:t>
      </w:r>
      <w:r w:rsidR="00D932C1" w:rsidRPr="001513DF">
        <w:rPr>
          <w:cs/>
        </w:rPr>
        <w:t xml:space="preserve"> </w:t>
      </w:r>
    </w:p>
    <w:p w14:paraId="4B2031CD" w14:textId="6CEBEEB2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70443309" w14:textId="11672D9B" w:rsidR="007B3513" w:rsidRPr="00A25CE6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2F15E3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BA327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33D57362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505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r w:rsidR="007B3513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วีรศักด</w:t>
      </w:r>
      <w:r w:rsidR="00EC7DC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ิ์ </w:t>
      </w:r>
      <w:bookmarkEnd w:id="2"/>
      <w:r w:rsidR="00EC7DC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ดีอ่ำ</w:t>
      </w:r>
      <w:r w:rsidR="00254DA2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th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C7FC" w14:textId="77777777" w:rsidR="00B5414A" w:rsidRDefault="00B5414A">
      <w:r>
        <w:separator/>
      </w:r>
    </w:p>
  </w:endnote>
  <w:endnote w:type="continuationSeparator" w:id="0">
    <w:p w14:paraId="668EAA42" w14:textId="77777777" w:rsidR="00B5414A" w:rsidRDefault="00B5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2011D51" w:rsidR="008E354A" w:rsidRPr="003370E1" w:rsidRDefault="008E354A" w:rsidP="002321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lef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8044" w14:textId="77777777" w:rsidR="00B5414A" w:rsidRDefault="00B5414A">
      <w:r>
        <w:separator/>
      </w:r>
    </w:p>
  </w:footnote>
  <w:footnote w:type="continuationSeparator" w:id="0">
    <w:p w14:paraId="2923194D" w14:textId="77777777" w:rsidR="00B5414A" w:rsidRDefault="00B5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1CC2A841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ข้อคิดเห็นต่อร่างข้อเสนอแนะมาตรฐานฯ </w:t>
    </w:r>
    <w:r w:rsidR="00A25CE6" w:rsidRPr="00A25CE6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ว่าด้วยบริการนำส่งข้อมูลอิเล็กทรอนิกส์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="00A25CE6">
      <w:rPr>
        <w:rFonts w:ascii="TH Sarabun New" w:hAnsi="TH Sarabun New" w:cs="TH Sarabun New"/>
        <w:b/>
        <w:bCs/>
        <w:sz w:val="28"/>
        <w:szCs w:val="28"/>
        <w:lang w:val="en-US" w:bidi="th-TH"/>
      </w:rPr>
      <w:t>-2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F4339"/>
    <w:multiLevelType w:val="hybridMultilevel"/>
    <w:tmpl w:val="524A48B8"/>
    <w:lvl w:ilvl="0" w:tplc="6EFE901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5973484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945AF"/>
    <w:rsid w:val="005B1A72"/>
    <w:rsid w:val="005B38F2"/>
    <w:rsid w:val="005C1A70"/>
    <w:rsid w:val="005D2048"/>
    <w:rsid w:val="005D4D13"/>
    <w:rsid w:val="005E062A"/>
    <w:rsid w:val="005E351F"/>
    <w:rsid w:val="005F0DFF"/>
    <w:rsid w:val="006004B7"/>
    <w:rsid w:val="0060635F"/>
    <w:rsid w:val="00617EE1"/>
    <w:rsid w:val="00626930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00E"/>
    <w:rsid w:val="00871744"/>
    <w:rsid w:val="008731B6"/>
    <w:rsid w:val="00874CAD"/>
    <w:rsid w:val="00884246"/>
    <w:rsid w:val="00885716"/>
    <w:rsid w:val="00896838"/>
    <w:rsid w:val="008A30CB"/>
    <w:rsid w:val="008B1025"/>
    <w:rsid w:val="008B40F3"/>
    <w:rsid w:val="008C4B05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5CE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14A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F2"/>
    <w:rsid w:val="00B912F5"/>
    <w:rsid w:val="00BA3275"/>
    <w:rsid w:val="00BC0B24"/>
    <w:rsid w:val="00BC10F7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2663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32</cp:revision>
  <cp:lastPrinted>2020-09-25T10:44:00Z</cp:lastPrinted>
  <dcterms:created xsi:type="dcterms:W3CDTF">2020-09-25T10:44:00Z</dcterms:created>
  <dcterms:modified xsi:type="dcterms:W3CDTF">2023-01-16T03:55:00Z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